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2E4" w:rsidRPr="000A716D" w:rsidRDefault="006532E4" w:rsidP="006532E4">
      <w:pPr>
        <w:tabs>
          <w:tab w:val="left" w:pos="6521"/>
        </w:tabs>
        <w:jc w:val="center"/>
        <w:rPr>
          <w:rFonts w:ascii="Arial" w:hAnsi="Arial" w:cs="Arial"/>
          <w:b/>
          <w:sz w:val="23"/>
          <w:szCs w:val="23"/>
          <w:lang w:val="es-CO"/>
        </w:rPr>
      </w:pPr>
      <w:r w:rsidRPr="000A716D">
        <w:rPr>
          <w:rFonts w:ascii="Arial" w:hAnsi="Arial" w:cs="Arial"/>
          <w:b/>
          <w:sz w:val="23"/>
          <w:szCs w:val="23"/>
          <w:lang w:val="es-CO"/>
        </w:rPr>
        <w:t>SECRETARÍA DE SEGURIDAD Y CONVIVENCIA</w:t>
      </w:r>
    </w:p>
    <w:p w:rsidR="006532E4" w:rsidRPr="000A716D" w:rsidRDefault="006532E4" w:rsidP="006532E4">
      <w:pPr>
        <w:jc w:val="center"/>
        <w:rPr>
          <w:rFonts w:ascii="Arial" w:hAnsi="Arial" w:cs="Arial"/>
          <w:b/>
          <w:sz w:val="23"/>
          <w:szCs w:val="23"/>
          <w:lang w:val="es-CO"/>
        </w:rPr>
      </w:pPr>
      <w:r w:rsidRPr="000A716D">
        <w:rPr>
          <w:rFonts w:ascii="Arial" w:hAnsi="Arial" w:cs="Arial"/>
          <w:b/>
          <w:sz w:val="23"/>
          <w:szCs w:val="23"/>
          <w:lang w:val="es-CO"/>
        </w:rPr>
        <w:t>SUBSECRETARÍA DE GOBIERNO LOCAL Y CONVIVENCIA</w:t>
      </w:r>
    </w:p>
    <w:p w:rsidR="006532E4" w:rsidRPr="000A716D" w:rsidRDefault="006532E4" w:rsidP="006532E4">
      <w:pPr>
        <w:jc w:val="center"/>
        <w:rPr>
          <w:rFonts w:ascii="Arial" w:hAnsi="Arial" w:cs="Arial"/>
          <w:b/>
          <w:sz w:val="23"/>
          <w:szCs w:val="23"/>
          <w:lang w:val="es-CO"/>
        </w:rPr>
      </w:pPr>
      <w:r w:rsidRPr="000A716D">
        <w:rPr>
          <w:rFonts w:ascii="Arial" w:hAnsi="Arial" w:cs="Arial"/>
          <w:b/>
          <w:sz w:val="23"/>
          <w:szCs w:val="23"/>
          <w:lang w:val="es-CO"/>
        </w:rPr>
        <w:t xml:space="preserve">INSPECCIÓN DIEZ (10) B DE </w:t>
      </w:r>
      <w:r w:rsidR="00DE3844" w:rsidRPr="000A716D">
        <w:rPr>
          <w:rFonts w:ascii="Arial" w:hAnsi="Arial" w:cs="Arial"/>
          <w:b/>
          <w:sz w:val="23"/>
          <w:szCs w:val="23"/>
          <w:lang w:val="es-CO"/>
        </w:rPr>
        <w:t>CONVIVENCIA Y PAZ</w:t>
      </w:r>
      <w:r w:rsidRPr="000A716D">
        <w:rPr>
          <w:rFonts w:ascii="Arial" w:hAnsi="Arial" w:cs="Arial"/>
          <w:b/>
          <w:sz w:val="23"/>
          <w:szCs w:val="23"/>
          <w:lang w:val="es-CO"/>
        </w:rPr>
        <w:t xml:space="preserve"> DE PRIMERA CATEGORÍA</w:t>
      </w:r>
      <w:r w:rsidR="00DE3844" w:rsidRPr="000A716D">
        <w:rPr>
          <w:rFonts w:ascii="Arial" w:hAnsi="Arial" w:cs="Arial"/>
          <w:b/>
          <w:sz w:val="23"/>
          <w:szCs w:val="23"/>
          <w:lang w:val="es-CO"/>
        </w:rPr>
        <w:t xml:space="preserve"> </w:t>
      </w:r>
    </w:p>
    <w:p w:rsidR="006532E4" w:rsidRPr="000A716D" w:rsidRDefault="006532E4" w:rsidP="006532E4">
      <w:pPr>
        <w:rPr>
          <w:rFonts w:ascii="Arial" w:eastAsia="Times New Roman" w:hAnsi="Arial" w:cs="Arial"/>
          <w:sz w:val="23"/>
          <w:szCs w:val="23"/>
          <w:lang w:val="es-CO"/>
        </w:rPr>
      </w:pPr>
    </w:p>
    <w:p w:rsidR="006532E4" w:rsidRPr="000A716D" w:rsidRDefault="006532E4" w:rsidP="006532E4">
      <w:pPr>
        <w:jc w:val="center"/>
        <w:rPr>
          <w:rFonts w:ascii="Arial" w:eastAsia="Calibri" w:hAnsi="Arial" w:cs="Arial"/>
          <w:b/>
          <w:sz w:val="23"/>
          <w:szCs w:val="23"/>
          <w:lang w:val="es-CO"/>
        </w:rPr>
      </w:pPr>
      <w:r w:rsidRPr="000A716D">
        <w:rPr>
          <w:rFonts w:ascii="Arial" w:eastAsia="Calibri" w:hAnsi="Arial" w:cs="Arial"/>
          <w:b/>
          <w:sz w:val="23"/>
          <w:szCs w:val="23"/>
          <w:lang w:val="es-CO"/>
        </w:rPr>
        <w:t xml:space="preserve">AUTO No. </w:t>
      </w:r>
      <w:r w:rsidR="00EA5611">
        <w:rPr>
          <w:rFonts w:ascii="Arial" w:eastAsia="Calibri" w:hAnsi="Arial" w:cs="Arial"/>
          <w:b/>
          <w:sz w:val="23"/>
          <w:szCs w:val="23"/>
          <w:lang w:val="es-CO"/>
        </w:rPr>
        <w:t>44</w:t>
      </w:r>
    </w:p>
    <w:p w:rsidR="006532E4" w:rsidRPr="000A716D" w:rsidRDefault="00FA72E9" w:rsidP="006532E4">
      <w:pPr>
        <w:jc w:val="center"/>
        <w:rPr>
          <w:rFonts w:ascii="Arial" w:eastAsia="Calibri" w:hAnsi="Arial" w:cs="Arial"/>
          <w:sz w:val="23"/>
          <w:szCs w:val="23"/>
          <w:lang w:val="es-CO"/>
        </w:rPr>
      </w:pPr>
      <w:r w:rsidRPr="000A716D">
        <w:rPr>
          <w:rFonts w:ascii="Arial" w:eastAsia="Calibri" w:hAnsi="Arial" w:cs="Arial"/>
          <w:sz w:val="23"/>
          <w:szCs w:val="23"/>
          <w:lang w:val="es-CO"/>
        </w:rPr>
        <w:t>(</w:t>
      </w:r>
      <w:r w:rsidR="00EA5611">
        <w:rPr>
          <w:rFonts w:ascii="Arial" w:eastAsia="Calibri" w:hAnsi="Arial" w:cs="Arial"/>
          <w:sz w:val="23"/>
          <w:szCs w:val="23"/>
          <w:lang w:val="es-CO"/>
        </w:rPr>
        <w:t>21 de mayo</w:t>
      </w:r>
      <w:r w:rsidR="00272AF5" w:rsidRPr="000A716D">
        <w:rPr>
          <w:rFonts w:ascii="Arial" w:eastAsia="Calibri" w:hAnsi="Arial" w:cs="Arial"/>
          <w:sz w:val="23"/>
          <w:szCs w:val="23"/>
          <w:lang w:val="es-CO"/>
        </w:rPr>
        <w:t xml:space="preserve"> de 2026</w:t>
      </w:r>
      <w:r w:rsidR="006532E4" w:rsidRPr="000A716D">
        <w:rPr>
          <w:rFonts w:ascii="Arial" w:eastAsia="Calibri" w:hAnsi="Arial" w:cs="Arial"/>
          <w:sz w:val="23"/>
          <w:szCs w:val="23"/>
          <w:lang w:val="es-CO"/>
        </w:rPr>
        <w:t>)</w:t>
      </w:r>
    </w:p>
    <w:p w:rsidR="006532E4" w:rsidRPr="000A716D" w:rsidRDefault="006532E4" w:rsidP="006532E4">
      <w:pPr>
        <w:jc w:val="center"/>
        <w:rPr>
          <w:rFonts w:ascii="Arial" w:eastAsia="Calibri" w:hAnsi="Arial" w:cs="Arial"/>
          <w:b/>
          <w:sz w:val="23"/>
          <w:szCs w:val="23"/>
          <w:lang w:val="es-CO"/>
        </w:rPr>
      </w:pPr>
    </w:p>
    <w:p w:rsidR="006532E4" w:rsidRPr="000A716D" w:rsidRDefault="00EA5611" w:rsidP="006532E4">
      <w:pPr>
        <w:jc w:val="center"/>
        <w:rPr>
          <w:rFonts w:ascii="Arial" w:eastAsia="Calibri" w:hAnsi="Arial" w:cs="Arial"/>
          <w:sz w:val="23"/>
          <w:szCs w:val="23"/>
          <w:lang w:val="es-CO"/>
        </w:rPr>
      </w:pPr>
      <w:r w:rsidRPr="00EA5611">
        <w:rPr>
          <w:rFonts w:ascii="Arial" w:eastAsia="Calibri" w:hAnsi="Arial" w:cs="Arial"/>
          <w:b/>
          <w:sz w:val="23"/>
          <w:szCs w:val="23"/>
          <w:lang w:val="es-CO"/>
        </w:rPr>
        <w:t xml:space="preserve">POR MEDIO DEL CUAL SE </w:t>
      </w:r>
      <w:r>
        <w:rPr>
          <w:rFonts w:ascii="Arial" w:eastAsia="Calibri" w:hAnsi="Arial" w:cs="Arial"/>
          <w:b/>
          <w:sz w:val="23"/>
          <w:szCs w:val="23"/>
          <w:lang w:val="es-CO"/>
        </w:rPr>
        <w:t>FIJA</w:t>
      </w:r>
      <w:r w:rsidRPr="00EA5611">
        <w:rPr>
          <w:rFonts w:ascii="Arial" w:eastAsia="Calibri" w:hAnsi="Arial" w:cs="Arial"/>
          <w:b/>
          <w:sz w:val="23"/>
          <w:szCs w:val="23"/>
          <w:lang w:val="es-CO"/>
        </w:rPr>
        <w:t xml:space="preserve"> FECHA PARA LA EJECUCIÓN DE MEDIDA POLICIVA DE DEMOLICIÓN D</w:t>
      </w:r>
      <w:r>
        <w:rPr>
          <w:rFonts w:ascii="Arial" w:eastAsia="Calibri" w:hAnsi="Arial" w:cs="Arial"/>
          <w:b/>
          <w:sz w:val="23"/>
          <w:szCs w:val="23"/>
          <w:lang w:val="es-CO"/>
        </w:rPr>
        <w:t>ENTRO DEL EXPEDIENTE 2-16909-21</w:t>
      </w:r>
    </w:p>
    <w:p w:rsidR="006532E4" w:rsidRPr="000A716D" w:rsidRDefault="006532E4" w:rsidP="006532E4">
      <w:pPr>
        <w:tabs>
          <w:tab w:val="left" w:pos="1701"/>
        </w:tabs>
        <w:ind w:left="1695" w:hanging="1695"/>
        <w:jc w:val="both"/>
        <w:rPr>
          <w:rFonts w:ascii="Arial" w:eastAsia="Calibri" w:hAnsi="Arial" w:cs="Arial"/>
          <w:sz w:val="23"/>
          <w:szCs w:val="23"/>
          <w:lang w:val="es-CO"/>
        </w:rPr>
      </w:pPr>
    </w:p>
    <w:p w:rsidR="006532E4" w:rsidRPr="000A716D" w:rsidRDefault="00CC2370" w:rsidP="006532E4">
      <w:pPr>
        <w:jc w:val="both"/>
        <w:textAlignment w:val="center"/>
        <w:rPr>
          <w:rFonts w:ascii="Arial" w:hAnsi="Arial" w:cs="Arial"/>
          <w:bCs/>
          <w:iCs/>
          <w:snapToGrid w:val="0"/>
          <w:sz w:val="23"/>
          <w:szCs w:val="23"/>
          <w:lang w:val="es-CO"/>
        </w:rPr>
      </w:pPr>
      <w:r w:rsidRPr="000A716D">
        <w:rPr>
          <w:rFonts w:ascii="Arial" w:hAnsi="Arial" w:cs="Arial"/>
          <w:b/>
          <w:bCs/>
          <w:iCs/>
          <w:snapToGrid w:val="0"/>
          <w:sz w:val="23"/>
          <w:szCs w:val="23"/>
          <w:lang w:val="es-CO"/>
        </w:rPr>
        <w:t xml:space="preserve">LA INSPECTORA DIEZ (10) B DE </w:t>
      </w:r>
      <w:r w:rsidR="00DE3844" w:rsidRPr="000A716D">
        <w:rPr>
          <w:rFonts w:ascii="Arial" w:hAnsi="Arial" w:cs="Arial"/>
          <w:b/>
          <w:bCs/>
          <w:iCs/>
          <w:snapToGrid w:val="0"/>
          <w:sz w:val="23"/>
          <w:szCs w:val="23"/>
          <w:lang w:val="es-CO"/>
        </w:rPr>
        <w:t xml:space="preserve">CONVIVENCIA Y PAZ </w:t>
      </w:r>
      <w:r w:rsidRPr="000A716D">
        <w:rPr>
          <w:rFonts w:ascii="Arial" w:hAnsi="Arial" w:cs="Arial"/>
          <w:b/>
          <w:bCs/>
          <w:iCs/>
          <w:snapToGrid w:val="0"/>
          <w:sz w:val="23"/>
          <w:szCs w:val="23"/>
          <w:lang w:val="es-CO"/>
        </w:rPr>
        <w:t>URBANA DE PRIMERA CATEGORÍA</w:t>
      </w:r>
      <w:r w:rsidRPr="000A716D">
        <w:rPr>
          <w:rFonts w:ascii="Arial" w:hAnsi="Arial" w:cs="Arial"/>
          <w:bCs/>
          <w:iCs/>
          <w:snapToGrid w:val="0"/>
          <w:sz w:val="23"/>
          <w:szCs w:val="23"/>
          <w:lang w:val="es-CO"/>
        </w:rPr>
        <w:t xml:space="preserve">, en ejercicio de las atribuciones constitucionales y legales, en especial las conferidas por la Ley 1801 de 2016 </w:t>
      </w:r>
      <w:r w:rsidR="00EA5611">
        <w:rPr>
          <w:rFonts w:ascii="Arial" w:hAnsi="Arial" w:cs="Arial"/>
          <w:bCs/>
          <w:iCs/>
          <w:snapToGrid w:val="0"/>
          <w:sz w:val="23"/>
          <w:szCs w:val="23"/>
          <w:lang w:val="es-CO"/>
        </w:rPr>
        <w:t>(</w:t>
      </w:r>
      <w:r w:rsidRPr="000A716D">
        <w:rPr>
          <w:rFonts w:ascii="Arial" w:hAnsi="Arial" w:cs="Arial"/>
          <w:bCs/>
          <w:iCs/>
          <w:snapToGrid w:val="0"/>
          <w:sz w:val="23"/>
          <w:szCs w:val="23"/>
          <w:lang w:val="es-CO"/>
        </w:rPr>
        <w:t>Código Nacional de Seguridad y Convivencia Ciudadana</w:t>
      </w:r>
      <w:r w:rsidR="00EA5611">
        <w:rPr>
          <w:rFonts w:ascii="Arial" w:hAnsi="Arial" w:cs="Arial"/>
          <w:bCs/>
          <w:iCs/>
          <w:snapToGrid w:val="0"/>
          <w:sz w:val="23"/>
          <w:szCs w:val="23"/>
          <w:lang w:val="es-CO"/>
        </w:rPr>
        <w:t xml:space="preserve">) y,  </w:t>
      </w:r>
    </w:p>
    <w:p w:rsidR="00CC2370" w:rsidRPr="000A716D" w:rsidRDefault="00CC2370" w:rsidP="006532E4">
      <w:pPr>
        <w:jc w:val="both"/>
        <w:textAlignment w:val="center"/>
        <w:rPr>
          <w:rFonts w:ascii="Arial" w:eastAsia="Times New Roman" w:hAnsi="Arial" w:cs="Arial"/>
          <w:i/>
          <w:iCs/>
          <w:sz w:val="23"/>
          <w:szCs w:val="23"/>
          <w:lang w:val="es-CO" w:eastAsia="es-CO"/>
        </w:rPr>
      </w:pPr>
    </w:p>
    <w:p w:rsidR="006532E4" w:rsidRPr="000A716D" w:rsidRDefault="00EA5611" w:rsidP="006532E4">
      <w:pPr>
        <w:jc w:val="center"/>
        <w:rPr>
          <w:rFonts w:ascii="Arial" w:eastAsia="Calibri" w:hAnsi="Arial" w:cs="Arial"/>
          <w:b/>
          <w:sz w:val="23"/>
          <w:szCs w:val="23"/>
          <w:lang w:val="es-CO"/>
        </w:rPr>
      </w:pPr>
      <w:r>
        <w:rPr>
          <w:rFonts w:ascii="Arial" w:eastAsia="Calibri" w:hAnsi="Arial" w:cs="Arial"/>
          <w:b/>
          <w:sz w:val="23"/>
          <w:szCs w:val="23"/>
          <w:lang w:val="es-CO"/>
        </w:rPr>
        <w:t>CONSIDERANDO</w:t>
      </w:r>
    </w:p>
    <w:p w:rsidR="006532E4" w:rsidRPr="000A716D" w:rsidRDefault="006532E4" w:rsidP="006532E4">
      <w:pPr>
        <w:jc w:val="center"/>
        <w:rPr>
          <w:rFonts w:ascii="Arial" w:eastAsia="Calibri" w:hAnsi="Arial" w:cs="Arial"/>
          <w:b/>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Que dentro del expediente administrativo No. 2-16909-21 se profirieron la Orden de Policía No. 034 de 2021 y la Orden de Policía No. 124 de 202</w:t>
      </w:r>
      <w:r>
        <w:rPr>
          <w:rFonts w:ascii="Arial" w:eastAsia="Calibri" w:hAnsi="Arial" w:cs="Arial"/>
          <w:sz w:val="23"/>
          <w:szCs w:val="23"/>
          <w:lang w:val="es-CO"/>
        </w:rPr>
        <w:t>4</w:t>
      </w:r>
      <w:r w:rsidRPr="00EA5611">
        <w:rPr>
          <w:rFonts w:ascii="Arial" w:eastAsia="Calibri" w:hAnsi="Arial" w:cs="Arial"/>
          <w:sz w:val="23"/>
          <w:szCs w:val="23"/>
          <w:lang w:val="es-CO"/>
        </w:rPr>
        <w:t>, relacionadas con los inmuebles ubicados en la Carrera 37 No. 55-30 y Carrera 37 No. 55-40 interiores 101, 102, 103, 201, 202, 301, 302, 303 y piso cuarto de la ciudad de Medellín, respecto de los cuales se dispusieron medidas policivas derivadas de las condiciones de riesgo advertidas por las autoridades técnicas competentes.</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Que mediante citación del 11 de mayo de 2026, esta Inspección convocó a propietarios, poseedores, tenedores, ocupantes determinados e indeterminados y demás personas relacionadas con los inmuebles objeto de actuación administrativa, a reunión de articulación institucional realizada el día 19 de mayo de 2026 en las instalaciones de esta Inspección, con el propósito de socializar las actuaciones administrativas adelantadas, las medidas policivas ordenadas y la oferta institucional dispuesta por el Distrito de Medellín frente a la próxima ejecución de las medidas de desmonte y demolición.</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 xml:space="preserve">Que, conforme al </w:t>
      </w:r>
      <w:r w:rsidRPr="00EA5611">
        <w:rPr>
          <w:rFonts w:ascii="Arial" w:eastAsia="Calibri" w:hAnsi="Arial" w:cs="Arial"/>
          <w:i/>
          <w:sz w:val="23"/>
          <w:szCs w:val="23"/>
          <w:lang w:val="es-CO"/>
        </w:rPr>
        <w:t>“Informe de socialización oferta institucional”</w:t>
      </w:r>
      <w:r w:rsidRPr="00EA5611">
        <w:rPr>
          <w:rFonts w:ascii="Arial" w:eastAsia="Calibri" w:hAnsi="Arial" w:cs="Arial"/>
          <w:sz w:val="23"/>
          <w:szCs w:val="23"/>
          <w:lang w:val="es-CO"/>
        </w:rPr>
        <w:t xml:space="preserve"> suscrito el 19 de mayo de 2026, se contó con la participación de distintas dependencias y entidades del Distrito, entre ellas ISVIMED, DAGRD, </w:t>
      </w:r>
      <w:r w:rsidRPr="00EA5611">
        <w:rPr>
          <w:rFonts w:ascii="Arial" w:eastAsia="Calibri" w:hAnsi="Arial" w:cs="Arial"/>
          <w:sz w:val="23"/>
          <w:szCs w:val="23"/>
          <w:lang w:val="es-CO"/>
        </w:rPr>
        <w:t>SECRETARÍA DE SEGURIDAD Y CONVIVENCIA, SECRETARÍA DE MUJERES, SECRETARÍA DE DESARROLLO ECONÓMICO, PERSONERÍA DISTRITAL</w:t>
      </w:r>
      <w:r w:rsidRPr="00EA5611">
        <w:rPr>
          <w:rFonts w:ascii="Arial" w:eastAsia="Calibri" w:hAnsi="Arial" w:cs="Arial"/>
          <w:sz w:val="23"/>
          <w:szCs w:val="23"/>
          <w:lang w:val="es-CO"/>
        </w:rPr>
        <w:t>, entre otras, quienes brindaron orientación respecto de la oferta institucional disponible para la población involucrada.</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Que en el desarrollo de dicha reunión se informó a los asistentes sobre la necesidad de ejecutar la medida de demolición con fundamento en las</w:t>
      </w:r>
      <w:bookmarkStart w:id="0" w:name="_GoBack"/>
      <w:bookmarkEnd w:id="0"/>
      <w:r w:rsidRPr="00EA5611">
        <w:rPr>
          <w:rFonts w:ascii="Arial" w:eastAsia="Calibri" w:hAnsi="Arial" w:cs="Arial"/>
          <w:sz w:val="23"/>
          <w:szCs w:val="23"/>
          <w:lang w:val="es-CO"/>
        </w:rPr>
        <w:t xml:space="preserve"> condiciones de riesgo advertidas, enfatizando la obligación institucional de salvaguardar la vida e integridad de las personas que habitan los inmuebles intervenidos. Así mismo, se indicó a la comunidad que la demolición se encontraba </w:t>
      </w:r>
      <w:r>
        <w:rPr>
          <w:rFonts w:ascii="Arial" w:eastAsia="Calibri" w:hAnsi="Arial" w:cs="Arial"/>
          <w:sz w:val="23"/>
          <w:szCs w:val="23"/>
          <w:lang w:val="es-CO"/>
        </w:rPr>
        <w:t xml:space="preserve">programada </w:t>
      </w:r>
      <w:r w:rsidRPr="00EA5611">
        <w:rPr>
          <w:rFonts w:ascii="Arial" w:eastAsia="Calibri" w:hAnsi="Arial" w:cs="Arial"/>
          <w:sz w:val="23"/>
          <w:szCs w:val="23"/>
          <w:lang w:val="es-CO"/>
        </w:rPr>
        <w:t>para el mes de junio de 2026, otorgando un término prudencial para que los ocupantes avanzaran en la preparación y articulación con la oferta institucional dispuesta por el Distrito.</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Que, en cumplimiento de los principios de coordinación administrativa, prevención del riesgo y protección de la vida consagrados en la Constitución Política, la Ley 1523 de 2012 y la Ley 1801 de 2016, resulta procedente reiterar formalmente la fecha programada para la ejecución material de la medida policiva de demolición.</w:t>
      </w:r>
    </w:p>
    <w:p w:rsidR="00EA5611" w:rsidRPr="00EA5611" w:rsidRDefault="00EA5611" w:rsidP="00EA5611">
      <w:pPr>
        <w:jc w:val="both"/>
        <w:rPr>
          <w:rFonts w:ascii="Arial" w:eastAsia="Calibri" w:hAnsi="Arial" w:cs="Arial"/>
          <w:sz w:val="23"/>
          <w:szCs w:val="23"/>
          <w:lang w:val="es-CO"/>
        </w:rPr>
      </w:pPr>
    </w:p>
    <w:p w:rsidR="00887DF9" w:rsidRDefault="00EA5611" w:rsidP="00EA5611">
      <w:pPr>
        <w:jc w:val="both"/>
        <w:rPr>
          <w:rFonts w:ascii="Arial" w:eastAsia="Calibri" w:hAnsi="Arial" w:cs="Arial"/>
          <w:sz w:val="23"/>
          <w:szCs w:val="23"/>
          <w:lang w:val="es-CO"/>
        </w:rPr>
      </w:pPr>
      <w:r w:rsidRPr="00EA5611">
        <w:rPr>
          <w:rFonts w:ascii="Arial" w:eastAsia="Calibri" w:hAnsi="Arial" w:cs="Arial"/>
          <w:sz w:val="23"/>
          <w:szCs w:val="23"/>
          <w:lang w:val="es-CO"/>
        </w:rPr>
        <w:t>En mérito de lo expuesto, este Despacho,</w:t>
      </w:r>
    </w:p>
    <w:p w:rsidR="00EA5611" w:rsidRPr="000A716D" w:rsidRDefault="00EA5611" w:rsidP="00EA5611">
      <w:pPr>
        <w:jc w:val="both"/>
        <w:rPr>
          <w:rFonts w:ascii="Arial" w:eastAsia="Calibri" w:hAnsi="Arial" w:cs="Arial"/>
          <w:b/>
          <w:sz w:val="23"/>
          <w:szCs w:val="23"/>
          <w:lang w:val="es-CO"/>
        </w:rPr>
      </w:pPr>
    </w:p>
    <w:p w:rsidR="00EA5611" w:rsidRPr="00EA5611" w:rsidRDefault="00EA5611" w:rsidP="00EA5611">
      <w:pPr>
        <w:jc w:val="center"/>
        <w:rPr>
          <w:rFonts w:ascii="Arial" w:eastAsia="Calibri" w:hAnsi="Arial" w:cs="Arial"/>
          <w:b/>
          <w:sz w:val="23"/>
          <w:szCs w:val="23"/>
          <w:lang w:val="es-CO"/>
        </w:rPr>
      </w:pPr>
      <w:r w:rsidRPr="00EA5611">
        <w:rPr>
          <w:rFonts w:ascii="Arial" w:eastAsia="Calibri" w:hAnsi="Arial" w:cs="Arial"/>
          <w:b/>
          <w:sz w:val="23"/>
          <w:szCs w:val="23"/>
          <w:lang w:val="es-CO"/>
        </w:rPr>
        <w:t>RESUELVE</w:t>
      </w:r>
    </w:p>
    <w:p w:rsidR="00EA5611" w:rsidRPr="00EA5611" w:rsidRDefault="00EA5611" w:rsidP="00EA5611">
      <w:pPr>
        <w:jc w:val="center"/>
        <w:rPr>
          <w:rFonts w:ascii="Arial" w:eastAsia="Calibri" w:hAnsi="Arial" w:cs="Arial"/>
          <w:b/>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b/>
          <w:sz w:val="23"/>
          <w:szCs w:val="23"/>
          <w:lang w:val="es-CO"/>
        </w:rPr>
        <w:t xml:space="preserve">PRIMERO: </w:t>
      </w:r>
      <w:r w:rsidRPr="00EA5611">
        <w:rPr>
          <w:rFonts w:ascii="Arial" w:eastAsia="Calibri" w:hAnsi="Arial" w:cs="Arial"/>
          <w:b/>
          <w:sz w:val="23"/>
          <w:szCs w:val="23"/>
          <w:lang w:val="es-CO"/>
        </w:rPr>
        <w:t xml:space="preserve">FIJAR </w:t>
      </w:r>
      <w:r w:rsidRPr="00EA5611">
        <w:rPr>
          <w:rFonts w:ascii="Arial" w:eastAsia="Calibri" w:hAnsi="Arial" w:cs="Arial"/>
          <w:sz w:val="23"/>
          <w:szCs w:val="23"/>
          <w:lang w:val="es-CO"/>
        </w:rPr>
        <w:t>como fecha para la ejecución de la medida policiva de demolición respecto de los inmuebles ubicados en la Carrera 37 No. 55-30 y Carrera 37 No. 55-40 interiores 101, 102, 103, 201, 202, 301, 302, 303 y piso cuarto de la ciudad de Medellín, el día veinticinco (25) de junio de 2026 a partir de las 6:00 a.m., conforme a las órdenes de policía vigentes proferidas dentro del expediente No. 2-16909-21.</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b/>
          <w:sz w:val="23"/>
          <w:szCs w:val="23"/>
          <w:lang w:val="es-CO"/>
        </w:rPr>
        <w:t>SEGUNDO: DEJAR CONSTANCIA</w:t>
      </w:r>
      <w:r w:rsidRPr="00EA5611">
        <w:rPr>
          <w:rFonts w:ascii="Arial" w:eastAsia="Calibri" w:hAnsi="Arial" w:cs="Arial"/>
          <w:sz w:val="23"/>
          <w:szCs w:val="23"/>
          <w:lang w:val="es-CO"/>
        </w:rPr>
        <w:t xml:space="preserve"> que dicha fecha fue informada previamente a propietarios, residentes y ocupantes durante la reunión de articulación institucional celebrada el día 19 de mayo de 2026 en las instalaciones de la Inspección 10B de Convivencia y Paz, escenario en el cual se realizó igualmente la socialización de la oferta institucional dispuesta por las diferentes dependencias del Distrito de Medellín para la atención y acompañamiento de la población involucrada.</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b/>
          <w:sz w:val="23"/>
          <w:szCs w:val="23"/>
          <w:lang w:val="es-CO"/>
        </w:rPr>
        <w:t>TERCERO: ADVERTIR</w:t>
      </w:r>
      <w:r w:rsidRPr="00EA5611">
        <w:rPr>
          <w:rFonts w:ascii="Arial" w:eastAsia="Calibri" w:hAnsi="Arial" w:cs="Arial"/>
          <w:sz w:val="23"/>
          <w:szCs w:val="23"/>
          <w:lang w:val="es-CO"/>
        </w:rPr>
        <w:t xml:space="preserve"> a los propietarios, poseedores, tenedores, ocupantes y demás interesados determinados e indeterminados, que deberán adoptar las medidas necesarias para el retiro de bienes y enseres, así como adelantar las gestiones pertinentes con las entidades distritales que actualmente brindan acompañamiento institucional, a efectos de garantizar una ejecución segura y ordenada de la medida policiva.</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b/>
          <w:sz w:val="23"/>
          <w:szCs w:val="23"/>
          <w:lang w:val="es-CO"/>
        </w:rPr>
        <w:t>CUARTO: DISPONER</w:t>
      </w:r>
      <w:r w:rsidRPr="00EA5611">
        <w:rPr>
          <w:rFonts w:ascii="Arial" w:eastAsia="Calibri" w:hAnsi="Arial" w:cs="Arial"/>
          <w:sz w:val="23"/>
          <w:szCs w:val="23"/>
          <w:lang w:val="es-CO"/>
        </w:rPr>
        <w:t xml:space="preserve"> que el presente auto sea fijado en un lugar visible de los inmuebles objeto de actuación administrativa, en la cartelera oficial de esta Inspección y publicado en la página web de la Alcaldía Distrital de Medellín, para conocimiento de los interesados determinados e indeterminados.</w:t>
      </w:r>
    </w:p>
    <w:p w:rsidR="00EA5611" w:rsidRPr="00EA5611" w:rsidRDefault="00EA5611" w:rsidP="00EA5611">
      <w:pPr>
        <w:jc w:val="both"/>
        <w:rPr>
          <w:rFonts w:ascii="Arial" w:eastAsia="Calibri" w:hAnsi="Arial" w:cs="Arial"/>
          <w:sz w:val="23"/>
          <w:szCs w:val="23"/>
          <w:lang w:val="es-CO"/>
        </w:rPr>
      </w:pPr>
    </w:p>
    <w:p w:rsidR="00EA5611" w:rsidRPr="00EA5611" w:rsidRDefault="00EA5611" w:rsidP="00EA5611">
      <w:pPr>
        <w:jc w:val="both"/>
        <w:rPr>
          <w:rFonts w:ascii="Arial" w:eastAsia="Calibri" w:hAnsi="Arial" w:cs="Arial"/>
          <w:sz w:val="23"/>
          <w:szCs w:val="23"/>
          <w:lang w:val="es-CO"/>
        </w:rPr>
      </w:pPr>
      <w:r w:rsidRPr="00EA5611">
        <w:rPr>
          <w:rFonts w:ascii="Arial" w:eastAsia="Calibri" w:hAnsi="Arial" w:cs="Arial"/>
          <w:b/>
          <w:sz w:val="23"/>
          <w:szCs w:val="23"/>
          <w:lang w:val="es-CO"/>
        </w:rPr>
        <w:t>QUINTO</w:t>
      </w:r>
      <w:r w:rsidRPr="00EA5611">
        <w:rPr>
          <w:rFonts w:ascii="Arial" w:eastAsia="Calibri" w:hAnsi="Arial" w:cs="Arial"/>
          <w:sz w:val="23"/>
          <w:szCs w:val="23"/>
          <w:lang w:val="es-CO"/>
        </w:rPr>
        <w:t>: Contra el presente auto no procede recurso alguno, por tratarse de un acto de trámite dentro de una actuación administrativa policiva.</w:t>
      </w:r>
    </w:p>
    <w:p w:rsidR="00EA5611" w:rsidRPr="00EA5611" w:rsidRDefault="00EA5611" w:rsidP="00EA5611">
      <w:pPr>
        <w:jc w:val="center"/>
        <w:rPr>
          <w:rFonts w:ascii="Arial" w:eastAsia="Calibri" w:hAnsi="Arial" w:cs="Arial"/>
          <w:b/>
          <w:sz w:val="23"/>
          <w:szCs w:val="23"/>
          <w:lang w:val="es-CO"/>
        </w:rPr>
      </w:pPr>
    </w:p>
    <w:p w:rsidR="00EA5611" w:rsidRDefault="00EA5611" w:rsidP="00EA5611">
      <w:pPr>
        <w:jc w:val="center"/>
        <w:rPr>
          <w:rFonts w:ascii="Arial" w:eastAsia="Calibri" w:hAnsi="Arial" w:cs="Arial"/>
          <w:b/>
          <w:sz w:val="23"/>
          <w:szCs w:val="23"/>
          <w:lang w:val="es-CO"/>
        </w:rPr>
      </w:pPr>
    </w:p>
    <w:p w:rsidR="00EA5611" w:rsidRPr="00EA5611" w:rsidRDefault="00EA5611" w:rsidP="00EA5611">
      <w:pPr>
        <w:jc w:val="center"/>
        <w:rPr>
          <w:rFonts w:ascii="Arial" w:eastAsia="Calibri" w:hAnsi="Arial" w:cs="Arial"/>
          <w:b/>
          <w:sz w:val="23"/>
          <w:szCs w:val="23"/>
          <w:lang w:val="es-CO"/>
        </w:rPr>
      </w:pPr>
      <w:r>
        <w:rPr>
          <w:rFonts w:ascii="Arial" w:eastAsia="Calibri" w:hAnsi="Arial" w:cs="Arial"/>
          <w:b/>
          <w:sz w:val="23"/>
          <w:szCs w:val="23"/>
          <w:lang w:val="es-CO"/>
        </w:rPr>
        <w:t xml:space="preserve">COMUNÍQUESE Y </w:t>
      </w:r>
      <w:r w:rsidRPr="00EA5611">
        <w:rPr>
          <w:rFonts w:ascii="Arial" w:eastAsia="Calibri" w:hAnsi="Arial" w:cs="Arial"/>
          <w:b/>
          <w:sz w:val="23"/>
          <w:szCs w:val="23"/>
          <w:lang w:val="es-CO"/>
        </w:rPr>
        <w:t>CÚMPLASE</w:t>
      </w:r>
    </w:p>
    <w:p w:rsidR="00EA5611" w:rsidRPr="00EA5611" w:rsidRDefault="00EA5611" w:rsidP="00EA5611">
      <w:pPr>
        <w:jc w:val="center"/>
        <w:rPr>
          <w:rFonts w:ascii="Arial" w:eastAsia="Calibri" w:hAnsi="Arial" w:cs="Arial"/>
          <w:b/>
          <w:sz w:val="23"/>
          <w:szCs w:val="23"/>
          <w:lang w:val="es-CO"/>
        </w:rPr>
      </w:pPr>
    </w:p>
    <w:p w:rsidR="006532E4" w:rsidRPr="000A716D" w:rsidRDefault="006532E4" w:rsidP="006532E4">
      <w:pPr>
        <w:jc w:val="both"/>
        <w:rPr>
          <w:rFonts w:ascii="Arial" w:eastAsia="Calibri" w:hAnsi="Arial" w:cs="Arial"/>
          <w:b/>
          <w:sz w:val="23"/>
          <w:szCs w:val="23"/>
          <w:lang w:val="es-CO"/>
        </w:rPr>
      </w:pPr>
    </w:p>
    <w:p w:rsidR="00B6212F" w:rsidRPr="000A716D" w:rsidRDefault="00B6212F" w:rsidP="00B6212F">
      <w:pPr>
        <w:shd w:val="clear" w:color="auto" w:fill="FFFFFF"/>
        <w:jc w:val="both"/>
        <w:rPr>
          <w:rStyle w:val="lrzxr"/>
          <w:rFonts w:ascii="Arial" w:hAnsi="Arial" w:cs="Arial"/>
          <w:color w:val="000000" w:themeColor="text1"/>
          <w:sz w:val="23"/>
          <w:szCs w:val="23"/>
          <w:shd w:val="clear" w:color="auto" w:fill="FFFFFF"/>
        </w:rPr>
      </w:pPr>
    </w:p>
    <w:p w:rsidR="00B6212F" w:rsidRPr="000A716D" w:rsidRDefault="00B6212F" w:rsidP="00B6212F">
      <w:pPr>
        <w:shd w:val="clear" w:color="auto" w:fill="FFFFFF"/>
        <w:jc w:val="both"/>
        <w:rPr>
          <w:rStyle w:val="lrzxr"/>
          <w:rFonts w:ascii="Arial" w:hAnsi="Arial" w:cs="Arial"/>
          <w:color w:val="000000" w:themeColor="text1"/>
          <w:sz w:val="23"/>
          <w:szCs w:val="23"/>
          <w:shd w:val="clear" w:color="auto" w:fill="FFFFFF"/>
        </w:rPr>
      </w:pPr>
    </w:p>
    <w:p w:rsidR="00B6212F" w:rsidRPr="000A716D" w:rsidRDefault="00B6212F" w:rsidP="00B6212F">
      <w:pPr>
        <w:shd w:val="clear" w:color="auto" w:fill="FFFFFF"/>
        <w:jc w:val="both"/>
        <w:rPr>
          <w:rStyle w:val="lrzxr"/>
          <w:rFonts w:ascii="Arial" w:hAnsi="Arial" w:cs="Arial"/>
          <w:color w:val="000000" w:themeColor="text1"/>
          <w:sz w:val="23"/>
          <w:szCs w:val="23"/>
          <w:shd w:val="clear" w:color="auto" w:fill="FFFFFF"/>
        </w:rPr>
      </w:pPr>
    </w:p>
    <w:p w:rsidR="00B6212F" w:rsidRPr="000A716D" w:rsidRDefault="00B6212F" w:rsidP="00B6212F">
      <w:pPr>
        <w:rPr>
          <w:rFonts w:ascii="Arial" w:hAnsi="Arial" w:cs="Arial"/>
          <w:b/>
          <w:color w:val="000000" w:themeColor="text1"/>
          <w:sz w:val="23"/>
          <w:szCs w:val="23"/>
        </w:rPr>
      </w:pPr>
    </w:p>
    <w:p w:rsidR="00B6212F" w:rsidRPr="000A716D" w:rsidRDefault="00B6212F" w:rsidP="00B6212F">
      <w:pPr>
        <w:rPr>
          <w:rFonts w:ascii="Arial" w:hAnsi="Arial" w:cs="Arial"/>
          <w:b/>
          <w:color w:val="000000" w:themeColor="text1"/>
          <w:sz w:val="23"/>
          <w:szCs w:val="23"/>
        </w:rPr>
      </w:pPr>
      <w:r w:rsidRPr="000A716D">
        <w:rPr>
          <w:rFonts w:ascii="Arial" w:hAnsi="Arial" w:cs="Arial"/>
          <w:b/>
          <w:color w:val="000000" w:themeColor="text1"/>
          <w:sz w:val="23"/>
          <w:szCs w:val="23"/>
        </w:rPr>
        <w:t xml:space="preserve">                  </w:t>
      </w:r>
    </w:p>
    <w:p w:rsidR="00B6212F" w:rsidRPr="000A716D" w:rsidRDefault="00B6212F" w:rsidP="00B6212F">
      <w:pPr>
        <w:jc w:val="both"/>
        <w:rPr>
          <w:rFonts w:ascii="Arial" w:hAnsi="Arial" w:cs="Arial"/>
          <w:b/>
          <w:color w:val="000000" w:themeColor="text1"/>
          <w:sz w:val="23"/>
          <w:szCs w:val="23"/>
          <w:lang w:val="es-CO"/>
        </w:rPr>
      </w:pPr>
      <w:r w:rsidRPr="000A716D">
        <w:rPr>
          <w:rFonts w:ascii="Arial" w:hAnsi="Arial" w:cs="Arial"/>
          <w:b/>
          <w:color w:val="000000" w:themeColor="text1"/>
          <w:sz w:val="23"/>
          <w:szCs w:val="23"/>
          <w:lang w:val="es-CO"/>
        </w:rPr>
        <w:t>ANA JUANITA VERGARA GÓMEZ</w:t>
      </w:r>
      <w:r w:rsidRPr="000A716D">
        <w:rPr>
          <w:rFonts w:ascii="Arial" w:hAnsi="Arial" w:cs="Arial"/>
          <w:b/>
          <w:color w:val="000000" w:themeColor="text1"/>
          <w:sz w:val="23"/>
          <w:szCs w:val="23"/>
          <w:lang w:val="es-CO"/>
        </w:rPr>
        <w:tab/>
        <w:t xml:space="preserve"> OSCAR EDUARDO ALFONSO BUILES     </w:t>
      </w:r>
    </w:p>
    <w:p w:rsidR="009235BB" w:rsidRPr="000A716D" w:rsidRDefault="00B6212F" w:rsidP="000A716D">
      <w:pPr>
        <w:tabs>
          <w:tab w:val="left" w:pos="4395"/>
        </w:tabs>
        <w:spacing w:line="240" w:lineRule="exact"/>
        <w:rPr>
          <w:sz w:val="23"/>
          <w:szCs w:val="23"/>
        </w:rPr>
      </w:pPr>
      <w:r w:rsidRPr="000A716D">
        <w:rPr>
          <w:rFonts w:ascii="Arial" w:hAnsi="Arial" w:cs="Arial"/>
          <w:color w:val="000000" w:themeColor="text1"/>
          <w:sz w:val="23"/>
          <w:szCs w:val="23"/>
          <w:lang w:val="es-CO"/>
        </w:rPr>
        <w:t xml:space="preserve">Inspectora </w:t>
      </w:r>
      <w:r w:rsidR="00CF5CE8" w:rsidRPr="000A716D">
        <w:rPr>
          <w:rFonts w:ascii="Arial" w:hAnsi="Arial" w:cs="Arial"/>
          <w:color w:val="000000" w:themeColor="text1"/>
          <w:sz w:val="23"/>
          <w:szCs w:val="23"/>
          <w:lang w:val="es-CO"/>
        </w:rPr>
        <w:t>10B de Convivencia y Paz</w:t>
      </w:r>
      <w:r w:rsidRPr="000A716D">
        <w:rPr>
          <w:rFonts w:ascii="Arial" w:hAnsi="Arial" w:cs="Arial"/>
          <w:color w:val="000000" w:themeColor="text1"/>
          <w:sz w:val="23"/>
          <w:szCs w:val="23"/>
          <w:lang w:val="es-CO"/>
        </w:rPr>
        <w:tab/>
        <w:t xml:space="preserve">Apoyo Jurídico </w:t>
      </w:r>
    </w:p>
    <w:sectPr w:rsidR="009235BB" w:rsidRPr="000A716D" w:rsidSect="00E152A8">
      <w:headerReference w:type="even" r:id="rId8"/>
      <w:headerReference w:type="default" r:id="rId9"/>
      <w:footerReference w:type="default" r:id="rId10"/>
      <w:pgSz w:w="12240" w:h="18720" w:code="14"/>
      <w:pgMar w:top="3119" w:right="1797" w:bottom="805" w:left="1797" w:header="425"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9DC" w:rsidRDefault="00E709DC" w:rsidP="005838D1">
      <w:r>
        <w:separator/>
      </w:r>
    </w:p>
  </w:endnote>
  <w:endnote w:type="continuationSeparator" w:id="0">
    <w:p w:rsidR="00E709DC" w:rsidRDefault="00E709D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5838D1">
    <w:pPr>
      <w:pStyle w:val="Piedepgina"/>
      <w:ind w:hanging="1350"/>
    </w:pPr>
    <w:r>
      <w:rPr>
        <w:noProof/>
        <w:lang w:eastAsia="es-CO"/>
      </w:rPr>
      <w:drawing>
        <wp:anchor distT="0" distB="0" distL="114300" distR="114300" simplePos="0" relativeHeight="251657728" behindDoc="0" locked="0" layoutInCell="1" allowOverlap="1">
          <wp:simplePos x="0" y="0"/>
          <wp:positionH relativeFrom="page">
            <wp:align>right</wp:align>
          </wp:positionH>
          <wp:positionV relativeFrom="paragraph">
            <wp:posOffset>10160</wp:posOffset>
          </wp:positionV>
          <wp:extent cx="7752999" cy="1019132"/>
          <wp:effectExtent l="0" t="0" r="63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52999" cy="1019132"/>
                  </a:xfrm>
                  <a:prstGeom prst="rect">
                    <a:avLst/>
                  </a:prstGeom>
                </pic:spPr>
              </pic:pic>
            </a:graphicData>
          </a:graphic>
          <wp14:sizeRelH relativeFrom="page">
            <wp14:pctWidth>0</wp14:pctWidth>
          </wp14:sizeRelH>
          <wp14:sizeRelV relativeFrom="page">
            <wp14:pctHeight>0</wp14:pctHeight>
          </wp14:sizeRelV>
        </wp:anchor>
      </w:drawing>
    </w:r>
    <w:r w:rsidR="005838D1">
      <w:rPr>
        <w:noProof/>
        <w:lang w:eastAsia="es-CO"/>
      </w:rPr>
      <w:drawing>
        <wp:inline distT="0" distB="0" distL="0" distR="0" wp14:anchorId="5CE3B534" wp14:editId="26AB649C">
          <wp:extent cx="45719" cy="914375"/>
          <wp:effectExtent l="0" t="0" r="0" b="0"/>
          <wp:docPr id="2"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00000" r="-619"/>
                  <a:stretch/>
                </pic:blipFill>
                <pic:spPr bwMode="auto">
                  <a:xfrm>
                    <a:off x="0" y="0"/>
                    <a:ext cx="45756" cy="915116"/>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9DC" w:rsidRDefault="00E709DC" w:rsidP="005838D1">
      <w:r>
        <w:separator/>
      </w:r>
    </w:p>
  </w:footnote>
  <w:footnote w:type="continuationSeparator" w:id="0">
    <w:p w:rsidR="00E709DC" w:rsidRDefault="00E709DC" w:rsidP="0058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40A" w:rsidRDefault="00E709DC">
    <w:pPr>
      <w:pStyle w:val="Encabezado"/>
    </w:pPr>
    <w:r>
      <w:rPr>
        <w:noProof/>
        <w:lang w:eastAsia="es-CO"/>
      </w:rPr>
      <w:pict w14:anchorId="673F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2049" type="#_x0000_t75" alt="" style="position:absolute;margin-left:0;margin-top:0;width:612.95pt;height:793.45pt;z-index:-251657728;mso-wrap-edited:f;mso-width-percent:0;mso-height-percent:0;mso-position-horizontal:center;mso-position-horizontal-relative:margin;mso-position-vertical:center;mso-position-vertical-relative:margin;mso-width-percent:0;mso-height-percent:0" o:allowincell="f">
          <v:imagedata r:id="rId1" o:title="Hoja sin dato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617FF8">
    <w:pPr>
      <w:pStyle w:val="Encabezado"/>
      <w:tabs>
        <w:tab w:val="clear" w:pos="4320"/>
      </w:tabs>
      <w:ind w:firstLine="142"/>
      <w:jc w:val="center"/>
    </w:pPr>
    <w:r>
      <w:rPr>
        <w:noProof/>
        <w:lang w:eastAsia="es-CO"/>
      </w:rPr>
      <w:drawing>
        <wp:anchor distT="0" distB="0" distL="114300" distR="114300" simplePos="0" relativeHeight="251656704" behindDoc="0" locked="0" layoutInCell="1" allowOverlap="1">
          <wp:simplePos x="0" y="0"/>
          <wp:positionH relativeFrom="margin">
            <wp:align>center</wp:align>
          </wp:positionH>
          <wp:positionV relativeFrom="paragraph">
            <wp:posOffset>130175</wp:posOffset>
          </wp:positionV>
          <wp:extent cx="1895475" cy="117157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95475" cy="1171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5421B8"/>
    <w:multiLevelType w:val="multilevel"/>
    <w:tmpl w:val="85AA42B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0870E71"/>
    <w:multiLevelType w:val="hybridMultilevel"/>
    <w:tmpl w:val="4F4211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9F84AF9"/>
    <w:multiLevelType w:val="multilevel"/>
    <w:tmpl w:val="EE42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840783"/>
    <w:multiLevelType w:val="multilevel"/>
    <w:tmpl w:val="85AA42B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B9B40F0"/>
    <w:multiLevelType w:val="hybridMultilevel"/>
    <w:tmpl w:val="920C66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9B4D16"/>
    <w:multiLevelType w:val="hybridMultilevel"/>
    <w:tmpl w:val="1D28EC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7A81C49"/>
    <w:multiLevelType w:val="hybridMultilevel"/>
    <w:tmpl w:val="8EBC3F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A8"/>
    <w:rsid w:val="00016C96"/>
    <w:rsid w:val="00023F6E"/>
    <w:rsid w:val="0003501F"/>
    <w:rsid w:val="00035370"/>
    <w:rsid w:val="0004695C"/>
    <w:rsid w:val="00054015"/>
    <w:rsid w:val="00092423"/>
    <w:rsid w:val="000A716D"/>
    <w:rsid w:val="000B73B3"/>
    <w:rsid w:val="000C7EF4"/>
    <w:rsid w:val="00107C99"/>
    <w:rsid w:val="00127E75"/>
    <w:rsid w:val="00143073"/>
    <w:rsid w:val="00152CB4"/>
    <w:rsid w:val="00163633"/>
    <w:rsid w:val="001652C3"/>
    <w:rsid w:val="00177A08"/>
    <w:rsid w:val="00190056"/>
    <w:rsid w:val="00191F27"/>
    <w:rsid w:val="001B2A34"/>
    <w:rsid w:val="001C4696"/>
    <w:rsid w:val="001D28B3"/>
    <w:rsid w:val="001E0403"/>
    <w:rsid w:val="00202D86"/>
    <w:rsid w:val="00215389"/>
    <w:rsid w:val="002417BA"/>
    <w:rsid w:val="00272AF5"/>
    <w:rsid w:val="00285E5C"/>
    <w:rsid w:val="002B194E"/>
    <w:rsid w:val="002F506E"/>
    <w:rsid w:val="00302A6D"/>
    <w:rsid w:val="00316FCE"/>
    <w:rsid w:val="00326FF8"/>
    <w:rsid w:val="00340C9F"/>
    <w:rsid w:val="003536C8"/>
    <w:rsid w:val="003633A5"/>
    <w:rsid w:val="00385A20"/>
    <w:rsid w:val="003A40E6"/>
    <w:rsid w:val="003A4FCA"/>
    <w:rsid w:val="003A749B"/>
    <w:rsid w:val="003B27C5"/>
    <w:rsid w:val="00437EA3"/>
    <w:rsid w:val="004468C5"/>
    <w:rsid w:val="00482B31"/>
    <w:rsid w:val="00490DFE"/>
    <w:rsid w:val="00490E0B"/>
    <w:rsid w:val="0049503B"/>
    <w:rsid w:val="004F34AE"/>
    <w:rsid w:val="004F4F2B"/>
    <w:rsid w:val="00507D7D"/>
    <w:rsid w:val="005102B0"/>
    <w:rsid w:val="00547D3D"/>
    <w:rsid w:val="00556A6F"/>
    <w:rsid w:val="005642FD"/>
    <w:rsid w:val="005805D0"/>
    <w:rsid w:val="005838D1"/>
    <w:rsid w:val="0058613B"/>
    <w:rsid w:val="005A026A"/>
    <w:rsid w:val="005C255B"/>
    <w:rsid w:val="005E07DD"/>
    <w:rsid w:val="00604746"/>
    <w:rsid w:val="00617FF8"/>
    <w:rsid w:val="006532E4"/>
    <w:rsid w:val="00664DA9"/>
    <w:rsid w:val="00672895"/>
    <w:rsid w:val="00691F66"/>
    <w:rsid w:val="006B1D7E"/>
    <w:rsid w:val="006D031E"/>
    <w:rsid w:val="006D1EBA"/>
    <w:rsid w:val="00700D10"/>
    <w:rsid w:val="00725837"/>
    <w:rsid w:val="00731FB4"/>
    <w:rsid w:val="00741F31"/>
    <w:rsid w:val="007471BF"/>
    <w:rsid w:val="00764C75"/>
    <w:rsid w:val="00793E7F"/>
    <w:rsid w:val="007C47EC"/>
    <w:rsid w:val="007E2198"/>
    <w:rsid w:val="00822B69"/>
    <w:rsid w:val="00887DF9"/>
    <w:rsid w:val="00892968"/>
    <w:rsid w:val="0089701C"/>
    <w:rsid w:val="008A3F26"/>
    <w:rsid w:val="008B1778"/>
    <w:rsid w:val="008D1878"/>
    <w:rsid w:val="009235BB"/>
    <w:rsid w:val="0094110F"/>
    <w:rsid w:val="0096725A"/>
    <w:rsid w:val="009865EE"/>
    <w:rsid w:val="009A11C8"/>
    <w:rsid w:val="009A5C2E"/>
    <w:rsid w:val="00A029D3"/>
    <w:rsid w:val="00A059E6"/>
    <w:rsid w:val="00A42294"/>
    <w:rsid w:val="00A46202"/>
    <w:rsid w:val="00A576E9"/>
    <w:rsid w:val="00A63BF1"/>
    <w:rsid w:val="00A714BD"/>
    <w:rsid w:val="00AA564E"/>
    <w:rsid w:val="00AA5773"/>
    <w:rsid w:val="00AA61BA"/>
    <w:rsid w:val="00AB008B"/>
    <w:rsid w:val="00B6212F"/>
    <w:rsid w:val="00BA2F3A"/>
    <w:rsid w:val="00BC1D43"/>
    <w:rsid w:val="00BC4C13"/>
    <w:rsid w:val="00BD3083"/>
    <w:rsid w:val="00BD4EBC"/>
    <w:rsid w:val="00BE09E7"/>
    <w:rsid w:val="00C03F12"/>
    <w:rsid w:val="00C450BE"/>
    <w:rsid w:val="00C5269E"/>
    <w:rsid w:val="00C77005"/>
    <w:rsid w:val="00C82B1F"/>
    <w:rsid w:val="00C871E0"/>
    <w:rsid w:val="00CC2370"/>
    <w:rsid w:val="00CC4C00"/>
    <w:rsid w:val="00CD53CE"/>
    <w:rsid w:val="00CE6E79"/>
    <w:rsid w:val="00CF1DF2"/>
    <w:rsid w:val="00CF5CE8"/>
    <w:rsid w:val="00D02DF1"/>
    <w:rsid w:val="00D24809"/>
    <w:rsid w:val="00DB6103"/>
    <w:rsid w:val="00DC5F34"/>
    <w:rsid w:val="00DD540A"/>
    <w:rsid w:val="00DE3844"/>
    <w:rsid w:val="00E14F86"/>
    <w:rsid w:val="00E152A8"/>
    <w:rsid w:val="00E70973"/>
    <w:rsid w:val="00E709DC"/>
    <w:rsid w:val="00E72853"/>
    <w:rsid w:val="00E747EE"/>
    <w:rsid w:val="00E8389B"/>
    <w:rsid w:val="00E9021F"/>
    <w:rsid w:val="00E90EFB"/>
    <w:rsid w:val="00EA5611"/>
    <w:rsid w:val="00ED4D82"/>
    <w:rsid w:val="00ED614C"/>
    <w:rsid w:val="00EF26F4"/>
    <w:rsid w:val="00F95C79"/>
    <w:rsid w:val="00FA0171"/>
    <w:rsid w:val="00FA63D8"/>
    <w:rsid w:val="00FA72E9"/>
    <w:rsid w:val="00FF04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chartTrackingRefBased/>
  <w15:docId w15:val="{C467C2A7-115C-437A-BD36-E1A0022D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F6E"/>
    <w:rPr>
      <w:rFonts w:eastAsiaTheme="minorEastAsia"/>
    </w:rPr>
  </w:style>
  <w:style w:type="paragraph" w:styleId="Ttulo2">
    <w:name w:val="heading 2"/>
    <w:basedOn w:val="Normal"/>
    <w:next w:val="Normal"/>
    <w:link w:val="Ttulo2Car"/>
    <w:uiPriority w:val="9"/>
    <w:semiHidden/>
    <w:unhideWhenUsed/>
    <w:qFormat/>
    <w:rsid w:val="00EA56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eastAsiaTheme="minorHAnsi" w:hAnsi="Times New Roman" w:cs="Times New Roman"/>
      <w:b/>
      <w:bCs/>
      <w:sz w:val="27"/>
      <w:szCs w:val="27"/>
      <w:lang w:val="es-ES_tradnl" w:eastAsia="es-ES_tradnl"/>
    </w:rPr>
  </w:style>
  <w:style w:type="paragraph" w:styleId="Ttulo4">
    <w:name w:val="heading 4"/>
    <w:basedOn w:val="Normal"/>
    <w:next w:val="Normal"/>
    <w:link w:val="Ttulo4Car"/>
    <w:uiPriority w:val="9"/>
    <w:semiHidden/>
    <w:unhideWhenUsed/>
    <w:qFormat/>
    <w:rsid w:val="00C7700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eastAsiaTheme="minorHAnsi"/>
      <w:lang w:val="es-CO"/>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rPr>
      <w:rFonts w:eastAsiaTheme="minorHAnsi"/>
      <w:lang w:val="es-CO"/>
    </w:r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uiPriority w:val="99"/>
    <w:semiHidden/>
    <w:unhideWhenUsed/>
    <w:rsid w:val="005838D1"/>
    <w:rPr>
      <w:rFonts w:ascii="Lucida Grande" w:eastAsiaTheme="minorHAnsi" w:hAnsi="Lucida Grande" w:cs="Lucida Grande"/>
      <w:sz w:val="18"/>
      <w:szCs w:val="18"/>
      <w:lang w:val="es-CO"/>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semiHidden/>
    <w:unhideWhenUsed/>
    <w:rsid w:val="00152CB4"/>
    <w:pPr>
      <w:spacing w:before="100" w:beforeAutospacing="1" w:after="100" w:afterAutospacing="1"/>
    </w:pPr>
    <w:rPr>
      <w:rFonts w:ascii="Times New Roman" w:eastAsia="Times New Roman" w:hAnsi="Times New Roman" w:cs="Times New Roman"/>
      <w:sz w:val="22"/>
      <w:szCs w:val="22"/>
      <w:lang w:val="es-CO" w:eastAsia="es-CO"/>
    </w:rPr>
  </w:style>
  <w:style w:type="paragraph" w:styleId="Puesto">
    <w:name w:val="Title"/>
    <w:basedOn w:val="Normal"/>
    <w:next w:val="Normal"/>
    <w:link w:val="PuestoCar"/>
    <w:uiPriority w:val="10"/>
    <w:qFormat/>
    <w:rsid w:val="00DB6103"/>
    <w:pPr>
      <w:contextualSpacing/>
    </w:pPr>
    <w:rPr>
      <w:rFonts w:asciiTheme="majorHAnsi" w:eastAsiaTheme="majorEastAsia" w:hAnsiTheme="majorHAnsi" w:cstheme="majorBidi"/>
      <w:spacing w:val="-10"/>
      <w:kern w:val="28"/>
      <w:sz w:val="56"/>
      <w:szCs w:val="56"/>
      <w:lang w:val="es-CO" w:eastAsia="es-CO"/>
    </w:rPr>
  </w:style>
  <w:style w:type="character" w:customStyle="1" w:styleId="PuestoCar">
    <w:name w:val="Puesto Car"/>
    <w:basedOn w:val="Fuentedeprrafopredeter"/>
    <w:link w:val="Puest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023F6E"/>
    <w:rPr>
      <w:color w:val="0563C1"/>
      <w:u w:val="single"/>
    </w:rPr>
  </w:style>
  <w:style w:type="table" w:styleId="Tablaconcuadrcula">
    <w:name w:val="Table Grid"/>
    <w:basedOn w:val="Tablanormal"/>
    <w:uiPriority w:val="59"/>
    <w:rsid w:val="00023F6E"/>
    <w:rPr>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Footnotes refss,Texto de nota al pie,referencia nota al pie,Ref. de nota al pie 2,Fago Fußnotenzeichen,Appel note de bas de page,Texto nota pie Car2,Footnote Text Char Char Char Char Char Car1,Footnote Text Char Char Char Char Car1,f"/>
    <w:uiPriority w:val="99"/>
    <w:qFormat/>
    <w:rsid w:val="006532E4"/>
    <w:rPr>
      <w:vertAlign w:val="superscript"/>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de nota al p"/>
    <w:basedOn w:val="Normal"/>
    <w:link w:val="TextonotapieCar"/>
    <w:uiPriority w:val="99"/>
    <w:qFormat/>
    <w:rsid w:val="006532E4"/>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uiPriority w:val="99"/>
    <w:rsid w:val="006532E4"/>
    <w:rPr>
      <w:rFonts w:ascii="Times New Roman" w:eastAsia="Times New Roman" w:hAnsi="Times New Roman" w:cs="Times New Roman"/>
      <w:sz w:val="20"/>
      <w:szCs w:val="20"/>
      <w:lang w:val="es-ES" w:eastAsia="es-ES"/>
    </w:rPr>
  </w:style>
  <w:style w:type="character" w:customStyle="1" w:styleId="lrzxr">
    <w:name w:val="lrzxr"/>
    <w:basedOn w:val="Fuentedeprrafopredeter"/>
    <w:rsid w:val="00B6212F"/>
  </w:style>
  <w:style w:type="paragraph" w:styleId="Prrafodelista">
    <w:name w:val="List Paragraph"/>
    <w:basedOn w:val="Normal"/>
    <w:uiPriority w:val="34"/>
    <w:qFormat/>
    <w:rsid w:val="002B194E"/>
    <w:pPr>
      <w:ind w:left="720"/>
      <w:contextualSpacing/>
    </w:pPr>
  </w:style>
  <w:style w:type="character" w:styleId="Textoennegrita">
    <w:name w:val="Strong"/>
    <w:basedOn w:val="Fuentedeprrafopredeter"/>
    <w:uiPriority w:val="22"/>
    <w:qFormat/>
    <w:rsid w:val="00016C96"/>
    <w:rPr>
      <w:b/>
      <w:bCs/>
    </w:rPr>
  </w:style>
  <w:style w:type="character" w:customStyle="1" w:styleId="Ttulo4Car">
    <w:name w:val="Título 4 Car"/>
    <w:basedOn w:val="Fuentedeprrafopredeter"/>
    <w:link w:val="Ttulo4"/>
    <w:uiPriority w:val="9"/>
    <w:semiHidden/>
    <w:rsid w:val="00C77005"/>
    <w:rPr>
      <w:rFonts w:asciiTheme="majorHAnsi" w:eastAsiaTheme="majorEastAsia" w:hAnsiTheme="majorHAnsi" w:cstheme="majorBidi"/>
      <w:i/>
      <w:iCs/>
      <w:color w:val="365F91" w:themeColor="accent1" w:themeShade="BF"/>
    </w:rPr>
  </w:style>
  <w:style w:type="character" w:customStyle="1" w:styleId="Ttulo2Car">
    <w:name w:val="Título 2 Car"/>
    <w:basedOn w:val="Fuentedeprrafopredeter"/>
    <w:link w:val="Ttulo2"/>
    <w:uiPriority w:val="9"/>
    <w:semiHidden/>
    <w:rsid w:val="00EA561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7692">
      <w:bodyDiv w:val="1"/>
      <w:marLeft w:val="0"/>
      <w:marRight w:val="0"/>
      <w:marTop w:val="0"/>
      <w:marBottom w:val="0"/>
      <w:divBdr>
        <w:top w:val="none" w:sz="0" w:space="0" w:color="auto"/>
        <w:left w:val="none" w:sz="0" w:space="0" w:color="auto"/>
        <w:bottom w:val="none" w:sz="0" w:space="0" w:color="auto"/>
        <w:right w:val="none" w:sz="0" w:space="0" w:color="auto"/>
      </w:divBdr>
    </w:div>
    <w:div w:id="133791474">
      <w:bodyDiv w:val="1"/>
      <w:marLeft w:val="0"/>
      <w:marRight w:val="0"/>
      <w:marTop w:val="0"/>
      <w:marBottom w:val="0"/>
      <w:divBdr>
        <w:top w:val="none" w:sz="0" w:space="0" w:color="auto"/>
        <w:left w:val="none" w:sz="0" w:space="0" w:color="auto"/>
        <w:bottom w:val="none" w:sz="0" w:space="0" w:color="auto"/>
        <w:right w:val="none" w:sz="0" w:space="0" w:color="auto"/>
      </w:divBdr>
    </w:div>
    <w:div w:id="138813198">
      <w:bodyDiv w:val="1"/>
      <w:marLeft w:val="0"/>
      <w:marRight w:val="0"/>
      <w:marTop w:val="0"/>
      <w:marBottom w:val="0"/>
      <w:divBdr>
        <w:top w:val="none" w:sz="0" w:space="0" w:color="auto"/>
        <w:left w:val="none" w:sz="0" w:space="0" w:color="auto"/>
        <w:bottom w:val="none" w:sz="0" w:space="0" w:color="auto"/>
        <w:right w:val="none" w:sz="0" w:space="0" w:color="auto"/>
      </w:divBdr>
    </w:div>
    <w:div w:id="207225257">
      <w:bodyDiv w:val="1"/>
      <w:marLeft w:val="0"/>
      <w:marRight w:val="0"/>
      <w:marTop w:val="0"/>
      <w:marBottom w:val="0"/>
      <w:divBdr>
        <w:top w:val="none" w:sz="0" w:space="0" w:color="auto"/>
        <w:left w:val="none" w:sz="0" w:space="0" w:color="auto"/>
        <w:bottom w:val="none" w:sz="0" w:space="0" w:color="auto"/>
        <w:right w:val="none" w:sz="0" w:space="0" w:color="auto"/>
      </w:divBdr>
    </w:div>
    <w:div w:id="209804578">
      <w:bodyDiv w:val="1"/>
      <w:marLeft w:val="0"/>
      <w:marRight w:val="0"/>
      <w:marTop w:val="0"/>
      <w:marBottom w:val="0"/>
      <w:divBdr>
        <w:top w:val="none" w:sz="0" w:space="0" w:color="auto"/>
        <w:left w:val="none" w:sz="0" w:space="0" w:color="auto"/>
        <w:bottom w:val="none" w:sz="0" w:space="0" w:color="auto"/>
        <w:right w:val="none" w:sz="0" w:space="0" w:color="auto"/>
      </w:divBdr>
    </w:div>
    <w:div w:id="218367651">
      <w:bodyDiv w:val="1"/>
      <w:marLeft w:val="0"/>
      <w:marRight w:val="0"/>
      <w:marTop w:val="0"/>
      <w:marBottom w:val="0"/>
      <w:divBdr>
        <w:top w:val="none" w:sz="0" w:space="0" w:color="auto"/>
        <w:left w:val="none" w:sz="0" w:space="0" w:color="auto"/>
        <w:bottom w:val="none" w:sz="0" w:space="0" w:color="auto"/>
        <w:right w:val="none" w:sz="0" w:space="0" w:color="auto"/>
      </w:divBdr>
    </w:div>
    <w:div w:id="267739733">
      <w:bodyDiv w:val="1"/>
      <w:marLeft w:val="0"/>
      <w:marRight w:val="0"/>
      <w:marTop w:val="0"/>
      <w:marBottom w:val="0"/>
      <w:divBdr>
        <w:top w:val="none" w:sz="0" w:space="0" w:color="auto"/>
        <w:left w:val="none" w:sz="0" w:space="0" w:color="auto"/>
        <w:bottom w:val="none" w:sz="0" w:space="0" w:color="auto"/>
        <w:right w:val="none" w:sz="0" w:space="0" w:color="auto"/>
      </w:divBdr>
    </w:div>
    <w:div w:id="344483088">
      <w:bodyDiv w:val="1"/>
      <w:marLeft w:val="0"/>
      <w:marRight w:val="0"/>
      <w:marTop w:val="0"/>
      <w:marBottom w:val="0"/>
      <w:divBdr>
        <w:top w:val="none" w:sz="0" w:space="0" w:color="auto"/>
        <w:left w:val="none" w:sz="0" w:space="0" w:color="auto"/>
        <w:bottom w:val="none" w:sz="0" w:space="0" w:color="auto"/>
        <w:right w:val="none" w:sz="0" w:space="0" w:color="auto"/>
      </w:divBdr>
      <w:divsChild>
        <w:div w:id="1660647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2312026">
      <w:bodyDiv w:val="1"/>
      <w:marLeft w:val="0"/>
      <w:marRight w:val="0"/>
      <w:marTop w:val="0"/>
      <w:marBottom w:val="0"/>
      <w:divBdr>
        <w:top w:val="none" w:sz="0" w:space="0" w:color="auto"/>
        <w:left w:val="none" w:sz="0" w:space="0" w:color="auto"/>
        <w:bottom w:val="none" w:sz="0" w:space="0" w:color="auto"/>
        <w:right w:val="none" w:sz="0" w:space="0" w:color="auto"/>
      </w:divBdr>
    </w:div>
    <w:div w:id="540824112">
      <w:bodyDiv w:val="1"/>
      <w:marLeft w:val="0"/>
      <w:marRight w:val="0"/>
      <w:marTop w:val="0"/>
      <w:marBottom w:val="0"/>
      <w:divBdr>
        <w:top w:val="none" w:sz="0" w:space="0" w:color="auto"/>
        <w:left w:val="none" w:sz="0" w:space="0" w:color="auto"/>
        <w:bottom w:val="none" w:sz="0" w:space="0" w:color="auto"/>
        <w:right w:val="none" w:sz="0" w:space="0" w:color="auto"/>
      </w:divBdr>
    </w:div>
    <w:div w:id="707530117">
      <w:bodyDiv w:val="1"/>
      <w:marLeft w:val="0"/>
      <w:marRight w:val="0"/>
      <w:marTop w:val="0"/>
      <w:marBottom w:val="0"/>
      <w:divBdr>
        <w:top w:val="none" w:sz="0" w:space="0" w:color="auto"/>
        <w:left w:val="none" w:sz="0" w:space="0" w:color="auto"/>
        <w:bottom w:val="none" w:sz="0" w:space="0" w:color="auto"/>
        <w:right w:val="none" w:sz="0" w:space="0" w:color="auto"/>
      </w:divBdr>
    </w:div>
    <w:div w:id="719790095">
      <w:bodyDiv w:val="1"/>
      <w:marLeft w:val="0"/>
      <w:marRight w:val="0"/>
      <w:marTop w:val="0"/>
      <w:marBottom w:val="0"/>
      <w:divBdr>
        <w:top w:val="none" w:sz="0" w:space="0" w:color="auto"/>
        <w:left w:val="none" w:sz="0" w:space="0" w:color="auto"/>
        <w:bottom w:val="none" w:sz="0" w:space="0" w:color="auto"/>
        <w:right w:val="none" w:sz="0" w:space="0" w:color="auto"/>
      </w:divBdr>
    </w:div>
    <w:div w:id="789250752">
      <w:bodyDiv w:val="1"/>
      <w:marLeft w:val="0"/>
      <w:marRight w:val="0"/>
      <w:marTop w:val="0"/>
      <w:marBottom w:val="0"/>
      <w:divBdr>
        <w:top w:val="none" w:sz="0" w:space="0" w:color="auto"/>
        <w:left w:val="none" w:sz="0" w:space="0" w:color="auto"/>
        <w:bottom w:val="none" w:sz="0" w:space="0" w:color="auto"/>
        <w:right w:val="none" w:sz="0" w:space="0" w:color="auto"/>
      </w:divBdr>
    </w:div>
    <w:div w:id="800151686">
      <w:bodyDiv w:val="1"/>
      <w:marLeft w:val="0"/>
      <w:marRight w:val="0"/>
      <w:marTop w:val="0"/>
      <w:marBottom w:val="0"/>
      <w:divBdr>
        <w:top w:val="none" w:sz="0" w:space="0" w:color="auto"/>
        <w:left w:val="none" w:sz="0" w:space="0" w:color="auto"/>
        <w:bottom w:val="none" w:sz="0" w:space="0" w:color="auto"/>
        <w:right w:val="none" w:sz="0" w:space="0" w:color="auto"/>
      </w:divBdr>
    </w:div>
    <w:div w:id="806362024">
      <w:bodyDiv w:val="1"/>
      <w:marLeft w:val="0"/>
      <w:marRight w:val="0"/>
      <w:marTop w:val="0"/>
      <w:marBottom w:val="0"/>
      <w:divBdr>
        <w:top w:val="none" w:sz="0" w:space="0" w:color="auto"/>
        <w:left w:val="none" w:sz="0" w:space="0" w:color="auto"/>
        <w:bottom w:val="none" w:sz="0" w:space="0" w:color="auto"/>
        <w:right w:val="none" w:sz="0" w:space="0" w:color="auto"/>
      </w:divBdr>
    </w:div>
    <w:div w:id="811362995">
      <w:bodyDiv w:val="1"/>
      <w:marLeft w:val="0"/>
      <w:marRight w:val="0"/>
      <w:marTop w:val="0"/>
      <w:marBottom w:val="0"/>
      <w:divBdr>
        <w:top w:val="none" w:sz="0" w:space="0" w:color="auto"/>
        <w:left w:val="none" w:sz="0" w:space="0" w:color="auto"/>
        <w:bottom w:val="none" w:sz="0" w:space="0" w:color="auto"/>
        <w:right w:val="none" w:sz="0" w:space="0" w:color="auto"/>
      </w:divBdr>
    </w:div>
    <w:div w:id="84490577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13206076">
      <w:bodyDiv w:val="1"/>
      <w:marLeft w:val="0"/>
      <w:marRight w:val="0"/>
      <w:marTop w:val="0"/>
      <w:marBottom w:val="0"/>
      <w:divBdr>
        <w:top w:val="none" w:sz="0" w:space="0" w:color="auto"/>
        <w:left w:val="none" w:sz="0" w:space="0" w:color="auto"/>
        <w:bottom w:val="none" w:sz="0" w:space="0" w:color="auto"/>
        <w:right w:val="none" w:sz="0" w:space="0" w:color="auto"/>
      </w:divBdr>
    </w:div>
    <w:div w:id="963535251">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976566777">
      <w:bodyDiv w:val="1"/>
      <w:marLeft w:val="0"/>
      <w:marRight w:val="0"/>
      <w:marTop w:val="0"/>
      <w:marBottom w:val="0"/>
      <w:divBdr>
        <w:top w:val="none" w:sz="0" w:space="0" w:color="auto"/>
        <w:left w:val="none" w:sz="0" w:space="0" w:color="auto"/>
        <w:bottom w:val="none" w:sz="0" w:space="0" w:color="auto"/>
        <w:right w:val="none" w:sz="0" w:space="0" w:color="auto"/>
      </w:divBdr>
      <w:divsChild>
        <w:div w:id="1005281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1826703">
      <w:bodyDiv w:val="1"/>
      <w:marLeft w:val="0"/>
      <w:marRight w:val="0"/>
      <w:marTop w:val="0"/>
      <w:marBottom w:val="0"/>
      <w:divBdr>
        <w:top w:val="none" w:sz="0" w:space="0" w:color="auto"/>
        <w:left w:val="none" w:sz="0" w:space="0" w:color="auto"/>
        <w:bottom w:val="none" w:sz="0" w:space="0" w:color="auto"/>
        <w:right w:val="none" w:sz="0" w:space="0" w:color="auto"/>
      </w:divBdr>
    </w:div>
    <w:div w:id="1121848918">
      <w:bodyDiv w:val="1"/>
      <w:marLeft w:val="0"/>
      <w:marRight w:val="0"/>
      <w:marTop w:val="0"/>
      <w:marBottom w:val="0"/>
      <w:divBdr>
        <w:top w:val="none" w:sz="0" w:space="0" w:color="auto"/>
        <w:left w:val="none" w:sz="0" w:space="0" w:color="auto"/>
        <w:bottom w:val="none" w:sz="0" w:space="0" w:color="auto"/>
        <w:right w:val="none" w:sz="0" w:space="0" w:color="auto"/>
      </w:divBdr>
    </w:div>
    <w:div w:id="1123573826">
      <w:bodyDiv w:val="1"/>
      <w:marLeft w:val="0"/>
      <w:marRight w:val="0"/>
      <w:marTop w:val="0"/>
      <w:marBottom w:val="0"/>
      <w:divBdr>
        <w:top w:val="none" w:sz="0" w:space="0" w:color="auto"/>
        <w:left w:val="none" w:sz="0" w:space="0" w:color="auto"/>
        <w:bottom w:val="none" w:sz="0" w:space="0" w:color="auto"/>
        <w:right w:val="none" w:sz="0" w:space="0" w:color="auto"/>
      </w:divBdr>
    </w:div>
    <w:div w:id="1172525852">
      <w:bodyDiv w:val="1"/>
      <w:marLeft w:val="0"/>
      <w:marRight w:val="0"/>
      <w:marTop w:val="0"/>
      <w:marBottom w:val="0"/>
      <w:divBdr>
        <w:top w:val="none" w:sz="0" w:space="0" w:color="auto"/>
        <w:left w:val="none" w:sz="0" w:space="0" w:color="auto"/>
        <w:bottom w:val="none" w:sz="0" w:space="0" w:color="auto"/>
        <w:right w:val="none" w:sz="0" w:space="0" w:color="auto"/>
      </w:divBdr>
    </w:div>
    <w:div w:id="1222713659">
      <w:bodyDiv w:val="1"/>
      <w:marLeft w:val="0"/>
      <w:marRight w:val="0"/>
      <w:marTop w:val="0"/>
      <w:marBottom w:val="0"/>
      <w:divBdr>
        <w:top w:val="none" w:sz="0" w:space="0" w:color="auto"/>
        <w:left w:val="none" w:sz="0" w:space="0" w:color="auto"/>
        <w:bottom w:val="none" w:sz="0" w:space="0" w:color="auto"/>
        <w:right w:val="none" w:sz="0" w:space="0" w:color="auto"/>
      </w:divBdr>
    </w:div>
    <w:div w:id="124873284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309745978">
      <w:bodyDiv w:val="1"/>
      <w:marLeft w:val="0"/>
      <w:marRight w:val="0"/>
      <w:marTop w:val="0"/>
      <w:marBottom w:val="0"/>
      <w:divBdr>
        <w:top w:val="none" w:sz="0" w:space="0" w:color="auto"/>
        <w:left w:val="none" w:sz="0" w:space="0" w:color="auto"/>
        <w:bottom w:val="none" w:sz="0" w:space="0" w:color="auto"/>
        <w:right w:val="none" w:sz="0" w:space="0" w:color="auto"/>
      </w:divBdr>
    </w:div>
    <w:div w:id="1316182802">
      <w:bodyDiv w:val="1"/>
      <w:marLeft w:val="0"/>
      <w:marRight w:val="0"/>
      <w:marTop w:val="0"/>
      <w:marBottom w:val="0"/>
      <w:divBdr>
        <w:top w:val="none" w:sz="0" w:space="0" w:color="auto"/>
        <w:left w:val="none" w:sz="0" w:space="0" w:color="auto"/>
        <w:bottom w:val="none" w:sz="0" w:space="0" w:color="auto"/>
        <w:right w:val="none" w:sz="0" w:space="0" w:color="auto"/>
      </w:divBdr>
    </w:div>
    <w:div w:id="1337271990">
      <w:bodyDiv w:val="1"/>
      <w:marLeft w:val="0"/>
      <w:marRight w:val="0"/>
      <w:marTop w:val="0"/>
      <w:marBottom w:val="0"/>
      <w:divBdr>
        <w:top w:val="none" w:sz="0" w:space="0" w:color="auto"/>
        <w:left w:val="none" w:sz="0" w:space="0" w:color="auto"/>
        <w:bottom w:val="none" w:sz="0" w:space="0" w:color="auto"/>
        <w:right w:val="none" w:sz="0" w:space="0" w:color="auto"/>
      </w:divBdr>
    </w:div>
    <w:div w:id="1338583506">
      <w:bodyDiv w:val="1"/>
      <w:marLeft w:val="0"/>
      <w:marRight w:val="0"/>
      <w:marTop w:val="0"/>
      <w:marBottom w:val="0"/>
      <w:divBdr>
        <w:top w:val="none" w:sz="0" w:space="0" w:color="auto"/>
        <w:left w:val="none" w:sz="0" w:space="0" w:color="auto"/>
        <w:bottom w:val="none" w:sz="0" w:space="0" w:color="auto"/>
        <w:right w:val="none" w:sz="0" w:space="0" w:color="auto"/>
      </w:divBdr>
    </w:div>
    <w:div w:id="1358240558">
      <w:bodyDiv w:val="1"/>
      <w:marLeft w:val="0"/>
      <w:marRight w:val="0"/>
      <w:marTop w:val="0"/>
      <w:marBottom w:val="0"/>
      <w:divBdr>
        <w:top w:val="none" w:sz="0" w:space="0" w:color="auto"/>
        <w:left w:val="none" w:sz="0" w:space="0" w:color="auto"/>
        <w:bottom w:val="none" w:sz="0" w:space="0" w:color="auto"/>
        <w:right w:val="none" w:sz="0" w:space="0" w:color="auto"/>
      </w:divBdr>
    </w:div>
    <w:div w:id="1420103522">
      <w:bodyDiv w:val="1"/>
      <w:marLeft w:val="0"/>
      <w:marRight w:val="0"/>
      <w:marTop w:val="0"/>
      <w:marBottom w:val="0"/>
      <w:divBdr>
        <w:top w:val="none" w:sz="0" w:space="0" w:color="auto"/>
        <w:left w:val="none" w:sz="0" w:space="0" w:color="auto"/>
        <w:bottom w:val="none" w:sz="0" w:space="0" w:color="auto"/>
        <w:right w:val="none" w:sz="0" w:space="0" w:color="auto"/>
      </w:divBdr>
    </w:div>
    <w:div w:id="1555891693">
      <w:bodyDiv w:val="1"/>
      <w:marLeft w:val="0"/>
      <w:marRight w:val="0"/>
      <w:marTop w:val="0"/>
      <w:marBottom w:val="0"/>
      <w:divBdr>
        <w:top w:val="none" w:sz="0" w:space="0" w:color="auto"/>
        <w:left w:val="none" w:sz="0" w:space="0" w:color="auto"/>
        <w:bottom w:val="none" w:sz="0" w:space="0" w:color="auto"/>
        <w:right w:val="none" w:sz="0" w:space="0" w:color="auto"/>
      </w:divBdr>
    </w:div>
    <w:div w:id="1562055155">
      <w:bodyDiv w:val="1"/>
      <w:marLeft w:val="0"/>
      <w:marRight w:val="0"/>
      <w:marTop w:val="0"/>
      <w:marBottom w:val="0"/>
      <w:divBdr>
        <w:top w:val="none" w:sz="0" w:space="0" w:color="auto"/>
        <w:left w:val="none" w:sz="0" w:space="0" w:color="auto"/>
        <w:bottom w:val="none" w:sz="0" w:space="0" w:color="auto"/>
        <w:right w:val="none" w:sz="0" w:space="0" w:color="auto"/>
      </w:divBdr>
      <w:divsChild>
        <w:div w:id="362826774">
          <w:marLeft w:val="0"/>
          <w:marRight w:val="0"/>
          <w:marTop w:val="0"/>
          <w:marBottom w:val="0"/>
          <w:divBdr>
            <w:top w:val="none" w:sz="0" w:space="0" w:color="auto"/>
            <w:left w:val="none" w:sz="0" w:space="0" w:color="auto"/>
            <w:bottom w:val="none" w:sz="0" w:space="0" w:color="auto"/>
            <w:right w:val="none" w:sz="0" w:space="0" w:color="auto"/>
          </w:divBdr>
        </w:div>
        <w:div w:id="138884603">
          <w:marLeft w:val="0"/>
          <w:marRight w:val="0"/>
          <w:marTop w:val="0"/>
          <w:marBottom w:val="0"/>
          <w:divBdr>
            <w:top w:val="none" w:sz="0" w:space="0" w:color="auto"/>
            <w:left w:val="none" w:sz="0" w:space="0" w:color="auto"/>
            <w:bottom w:val="none" w:sz="0" w:space="0" w:color="auto"/>
            <w:right w:val="none" w:sz="0" w:space="0" w:color="auto"/>
          </w:divBdr>
        </w:div>
        <w:div w:id="110517422">
          <w:blockQuote w:val="1"/>
          <w:marLeft w:val="720"/>
          <w:marRight w:val="720"/>
          <w:marTop w:val="100"/>
          <w:marBottom w:val="100"/>
          <w:divBdr>
            <w:top w:val="none" w:sz="0" w:space="0" w:color="auto"/>
            <w:left w:val="none" w:sz="0" w:space="0" w:color="auto"/>
            <w:bottom w:val="none" w:sz="0" w:space="0" w:color="auto"/>
            <w:right w:val="none" w:sz="0" w:space="0" w:color="auto"/>
          </w:divBdr>
        </w:div>
        <w:div w:id="459879880">
          <w:marLeft w:val="0"/>
          <w:marRight w:val="0"/>
          <w:marTop w:val="0"/>
          <w:marBottom w:val="0"/>
          <w:divBdr>
            <w:top w:val="none" w:sz="0" w:space="0" w:color="auto"/>
            <w:left w:val="none" w:sz="0" w:space="0" w:color="auto"/>
            <w:bottom w:val="none" w:sz="0" w:space="0" w:color="auto"/>
            <w:right w:val="none" w:sz="0" w:space="0" w:color="auto"/>
          </w:divBdr>
        </w:div>
      </w:divsChild>
    </w:div>
    <w:div w:id="1577665127">
      <w:bodyDiv w:val="1"/>
      <w:marLeft w:val="0"/>
      <w:marRight w:val="0"/>
      <w:marTop w:val="0"/>
      <w:marBottom w:val="0"/>
      <w:divBdr>
        <w:top w:val="none" w:sz="0" w:space="0" w:color="auto"/>
        <w:left w:val="none" w:sz="0" w:space="0" w:color="auto"/>
        <w:bottom w:val="none" w:sz="0" w:space="0" w:color="auto"/>
        <w:right w:val="none" w:sz="0" w:space="0" w:color="auto"/>
      </w:divBdr>
    </w:div>
    <w:div w:id="1606116652">
      <w:bodyDiv w:val="1"/>
      <w:marLeft w:val="0"/>
      <w:marRight w:val="0"/>
      <w:marTop w:val="0"/>
      <w:marBottom w:val="0"/>
      <w:divBdr>
        <w:top w:val="none" w:sz="0" w:space="0" w:color="auto"/>
        <w:left w:val="none" w:sz="0" w:space="0" w:color="auto"/>
        <w:bottom w:val="none" w:sz="0" w:space="0" w:color="auto"/>
        <w:right w:val="none" w:sz="0" w:space="0" w:color="auto"/>
      </w:divBdr>
    </w:div>
    <w:div w:id="1895238369">
      <w:bodyDiv w:val="1"/>
      <w:marLeft w:val="0"/>
      <w:marRight w:val="0"/>
      <w:marTop w:val="0"/>
      <w:marBottom w:val="0"/>
      <w:divBdr>
        <w:top w:val="none" w:sz="0" w:space="0" w:color="auto"/>
        <w:left w:val="none" w:sz="0" w:space="0" w:color="auto"/>
        <w:bottom w:val="none" w:sz="0" w:space="0" w:color="auto"/>
        <w:right w:val="none" w:sz="0" w:space="0" w:color="auto"/>
      </w:divBdr>
    </w:div>
    <w:div w:id="2001082585">
      <w:bodyDiv w:val="1"/>
      <w:marLeft w:val="0"/>
      <w:marRight w:val="0"/>
      <w:marTop w:val="0"/>
      <w:marBottom w:val="0"/>
      <w:divBdr>
        <w:top w:val="none" w:sz="0" w:space="0" w:color="auto"/>
        <w:left w:val="none" w:sz="0" w:space="0" w:color="auto"/>
        <w:bottom w:val="none" w:sz="0" w:space="0" w:color="auto"/>
        <w:right w:val="none" w:sz="0" w:space="0" w:color="auto"/>
      </w:divBdr>
    </w:div>
    <w:div w:id="205045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8D747-9CD1-4041-B11D-B030EAB1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760</Words>
  <Characters>4182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Alfonso Builes</dc:creator>
  <cp:keywords/>
  <dc:description/>
  <cp:lastModifiedBy>Oscar Eduardo Alfonso Builes</cp:lastModifiedBy>
  <cp:revision>3</cp:revision>
  <cp:lastPrinted>2026-05-21T15:53:00Z</cp:lastPrinted>
  <dcterms:created xsi:type="dcterms:W3CDTF">2026-03-04T16:09:00Z</dcterms:created>
  <dcterms:modified xsi:type="dcterms:W3CDTF">2026-05-21T15:54:00Z</dcterms:modified>
</cp:coreProperties>
</file>